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DCD" w:rsidRDefault="00574DCD" w:rsidP="00574DCD">
      <w:pPr>
        <w:autoSpaceDE w:val="0"/>
        <w:autoSpaceDN w:val="0"/>
        <w:adjustRightInd w:val="0"/>
        <w:jc w:val="center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MR Guided Focused Ultrasound for Fibroids (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MRgFUS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) </w:t>
      </w:r>
    </w:p>
    <w:p w:rsidR="00574DCD" w:rsidRDefault="00574DCD" w:rsidP="00574DCD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</w:p>
    <w:p w:rsidR="00574DCD" w:rsidRDefault="00574DCD" w:rsidP="00574DCD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What is MR Focused Ultrasound? </w:t>
      </w:r>
    </w:p>
    <w:p w:rsidR="00574DCD" w:rsidRDefault="00574DCD" w:rsidP="00574DCD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</w:p>
    <w:p w:rsidR="00574DCD" w:rsidRDefault="00574DCD" w:rsidP="00574DCD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This is </w:t>
      </w:r>
      <w:proofErr w:type="gramStart"/>
      <w:r>
        <w:rPr>
          <w:rFonts w:ascii="Arial" w:hAnsi="Arial" w:cs="Arial"/>
          <w:color w:val="212121"/>
          <w:sz w:val="22"/>
          <w:szCs w:val="22"/>
        </w:rPr>
        <w:t>an</w:t>
      </w:r>
      <w:proofErr w:type="gramEnd"/>
      <w:r>
        <w:rPr>
          <w:rFonts w:ascii="Arial" w:hAnsi="Arial" w:cs="Arial"/>
          <w:color w:val="212121"/>
          <w:sz w:val="22"/>
          <w:szCs w:val="22"/>
        </w:rPr>
        <w:t xml:space="preserve"> non-surgical method for treating uterine fibroids in the select patient using ultrasound energy to shrink the volume of the fibroid. </w:t>
      </w:r>
    </w:p>
    <w:p w:rsidR="00574DCD" w:rsidRDefault="00574DCD" w:rsidP="00574DCD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</w:p>
    <w:p w:rsidR="00574DCD" w:rsidRDefault="00574DCD" w:rsidP="00574DCD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Is MR Focused Ultrasound effective? </w:t>
      </w:r>
    </w:p>
    <w:p w:rsidR="00574DCD" w:rsidRDefault="00574DCD" w:rsidP="00574DCD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</w:p>
    <w:p w:rsidR="00574DCD" w:rsidRDefault="00574DCD" w:rsidP="00574DCD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Yes. In patients that meet treatment criteria, this method has comparable outcomes to other procedures such as myomectomy or Uterine Fibroid Embolization.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MRgFUS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is not more effective than these other treatment options, but does have the advantage of a speedy recovery, typically within 1 - 7 days. </w:t>
      </w:r>
    </w:p>
    <w:p w:rsidR="00574DCD" w:rsidRDefault="00574DCD" w:rsidP="00574DCD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</w:p>
    <w:p w:rsidR="00574DCD" w:rsidRDefault="00574DCD" w:rsidP="00574DCD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Who is a candidate? </w:t>
      </w:r>
    </w:p>
    <w:p w:rsidR="00574DCD" w:rsidRDefault="00574DCD" w:rsidP="00574DCD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Women who are interested in preserving future fertility or want an alternative to myomectomy. </w:t>
      </w:r>
    </w:p>
    <w:p w:rsidR="00574DCD" w:rsidRDefault="00574DCD" w:rsidP="00574DCD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</w:p>
    <w:p w:rsidR="00574DCD" w:rsidRDefault="00574DCD" w:rsidP="00574DCD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What factors determine maximum success? </w:t>
      </w:r>
    </w:p>
    <w:p w:rsidR="00574DCD" w:rsidRDefault="00574DCD" w:rsidP="00574DCD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</w:p>
    <w:p w:rsidR="00574DCD" w:rsidRDefault="00574DCD" w:rsidP="00574DC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Fibroids that are 2-10 cm in size. Larger fibroids can be pre-treated with Lupron to reduce volume. </w:t>
      </w:r>
    </w:p>
    <w:p w:rsidR="00574DCD" w:rsidRDefault="00574DCD" w:rsidP="00574DC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A small number of fibroids (1-3) </w:t>
      </w:r>
    </w:p>
    <w:p w:rsidR="00574DCD" w:rsidRDefault="00574DCD" w:rsidP="00574DC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Fibroid that can be reached with the ultrasound device avoiding bowel and spine</w:t>
      </w:r>
    </w:p>
    <w:p w:rsidR="00574DCD" w:rsidRDefault="00574DCD" w:rsidP="00574DC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Fibroids that are not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hypervascular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or hyperintense on certain MRI images </w:t>
      </w:r>
    </w:p>
    <w:p w:rsidR="00574DCD" w:rsidRDefault="00574DCD" w:rsidP="00574DCD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</w:p>
    <w:p w:rsidR="00574DCD" w:rsidRDefault="00574DCD" w:rsidP="00574DCD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What are the advantages? </w:t>
      </w:r>
    </w:p>
    <w:p w:rsidR="00574DCD" w:rsidRDefault="00574DCD" w:rsidP="00574DC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No surgical scars on the body or uterus</w:t>
      </w:r>
    </w:p>
    <w:p w:rsidR="00574DCD" w:rsidRDefault="00574DCD" w:rsidP="00574DC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Single procedure</w:t>
      </w:r>
    </w:p>
    <w:p w:rsidR="00574DCD" w:rsidRDefault="00574DCD" w:rsidP="00574DC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No general anesthesia</w:t>
      </w:r>
    </w:p>
    <w:p w:rsidR="00574DCD" w:rsidRDefault="00574DCD" w:rsidP="00574DC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Minimal pain after the procedure, and same day discharge after 1-2 hours</w:t>
      </w:r>
    </w:p>
    <w:p w:rsidR="00574DCD" w:rsidRDefault="00574DCD" w:rsidP="00574DC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Quick recovery time of 1-7 days. </w:t>
      </w:r>
    </w:p>
    <w:p w:rsidR="00574DCD" w:rsidRDefault="00574DCD" w:rsidP="00574DC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Patients can attempt vaginal delivery vs myomectomy, which requires C-section for subsequent pregnancies.  </w:t>
      </w:r>
    </w:p>
    <w:p w:rsidR="00574DCD" w:rsidRDefault="00574DCD" w:rsidP="00574DCD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</w:p>
    <w:p w:rsidR="00574DCD" w:rsidRDefault="00574DCD" w:rsidP="00574DCD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What are the procedural details? </w:t>
      </w:r>
    </w:p>
    <w:p w:rsidR="00574DCD" w:rsidRDefault="00574DCD" w:rsidP="00574DC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Prone position on the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MRgFUS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table, with the lower abdomen in a pool of water, on a gel pad, above the ultrasound device, which is built into the MR table</w:t>
      </w:r>
    </w:p>
    <w:p w:rsidR="00574DCD" w:rsidRDefault="00574DCD" w:rsidP="00574DC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IV and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foley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catheter placement during the procedure. Rectal gel is also placed to protect the bowel</w:t>
      </w:r>
    </w:p>
    <w:p w:rsidR="00574DCD" w:rsidRDefault="00574DCD" w:rsidP="00574DC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After imaging, we then start the treatment, moving the ultrasound focus inside the fibroid to heat a small portion of the fibroid delivered in cycles of 30 seconds on, 90 seconds off till maximum amount of fibroid is treated. </w:t>
      </w:r>
    </w:p>
    <w:p w:rsidR="00574DCD" w:rsidRDefault="00574DCD" w:rsidP="00574DC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Strong pelvic cramping may be felt during the procedure.  Pain is controlled with pain medications during the procedure. </w:t>
      </w:r>
    </w:p>
    <w:p w:rsidR="00574DCD" w:rsidRDefault="00574DCD" w:rsidP="00574DCD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</w:p>
    <w:p w:rsidR="00574DCD" w:rsidRDefault="00574DCD" w:rsidP="00574DCD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What is expected symptom relief?</w:t>
      </w:r>
    </w:p>
    <w:p w:rsidR="00574DCD" w:rsidRDefault="00574DCD" w:rsidP="00574DC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The effects are not immediate. After treatment, the fibroid softens, and begins to shrink. This process takes about 3 - 6 months</w:t>
      </w:r>
    </w:p>
    <w:p w:rsidR="00574DCD" w:rsidRDefault="00574DCD" w:rsidP="00574DC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Patients typically notice an improvement in bulk symptoms the first month, with continued improvement over time. </w:t>
      </w:r>
    </w:p>
    <w:p w:rsidR="00574DCD" w:rsidRDefault="00574DCD" w:rsidP="00574DC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lastRenderedPageBreak/>
        <w:t>Bleeding symptoms tend to improve over the course of 1-3 cycles. </w:t>
      </w:r>
    </w:p>
    <w:p w:rsidR="00574DCD" w:rsidRDefault="00574DCD" w:rsidP="00574DCD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</w:p>
    <w:p w:rsidR="00574DCD" w:rsidRDefault="00574DCD"/>
    <w:p w:rsidR="00574DCD" w:rsidRDefault="00574DCD">
      <w:r>
        <w:t xml:space="preserve">Where to find more information? </w:t>
      </w:r>
    </w:p>
    <w:p w:rsidR="00574DCD" w:rsidRDefault="00574DCD">
      <w:r>
        <w:tab/>
        <w:t xml:space="preserve">Please check out the video </w:t>
      </w:r>
      <w:proofErr w:type="spellStart"/>
      <w:r>
        <w:t>MRgFUS</w:t>
      </w:r>
      <w:proofErr w:type="spellEnd"/>
      <w:r>
        <w:t xml:space="preserve"> on the Stanford website video library</w:t>
      </w:r>
      <w:bookmarkStart w:id="0" w:name="_GoBack"/>
      <w:bookmarkEnd w:id="0"/>
    </w:p>
    <w:sectPr w:rsidR="00574DCD" w:rsidSect="00C8713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1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2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CD"/>
    <w:rsid w:val="00574DCD"/>
    <w:rsid w:val="00A6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3FABC"/>
  <w15:chartTrackingRefBased/>
  <w15:docId w15:val="{8BBA9BAF-2AC7-314C-AE8F-DA3341EE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Atashroo</dc:creator>
  <cp:keywords/>
  <dc:description/>
  <cp:lastModifiedBy>Diana Atashroo</cp:lastModifiedBy>
  <cp:revision>1</cp:revision>
  <dcterms:created xsi:type="dcterms:W3CDTF">2019-08-15T04:37:00Z</dcterms:created>
  <dcterms:modified xsi:type="dcterms:W3CDTF">2019-08-15T04:39:00Z</dcterms:modified>
</cp:coreProperties>
</file>